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C5D7" w14:textId="5062580E" w:rsidR="005522D3" w:rsidRPr="0052542B" w:rsidRDefault="005522D3" w:rsidP="005E3C0B">
      <w:pPr>
        <w:spacing w:after="0" w:line="240" w:lineRule="auto"/>
        <w:jc w:val="center"/>
        <w:rPr>
          <w:rFonts w:ascii="Amasis MT Pro Black" w:eastAsia="Times New Roman" w:hAnsi="Amasis MT Pro Black" w:cs="Times New Roman"/>
          <w:i/>
          <w:iCs/>
          <w:sz w:val="20"/>
          <w:szCs w:val="20"/>
        </w:rPr>
      </w:pPr>
      <w:r w:rsidRPr="0052542B">
        <w:rPr>
          <w:rFonts w:ascii="Amasis MT Pro Black" w:eastAsia="Times New Roman" w:hAnsi="Amasis MT Pro Black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047FAE9E" wp14:editId="315AA1AB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329055" cy="885825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2542B">
        <w:rPr>
          <w:rFonts w:ascii="Amasis MT Pro Black" w:eastAsia="Times New Roman" w:hAnsi="Amasis MT Pro Black" w:cs="Times New Roman"/>
          <w:b/>
          <w:bCs/>
          <w:i/>
          <w:iCs/>
          <w:color w:val="FF0000"/>
          <w:sz w:val="40"/>
          <w:szCs w:val="40"/>
          <w:lang w:val="es-ES"/>
        </w:rPr>
        <w:t>Treadwell</w:t>
      </w:r>
      <w:proofErr w:type="spellEnd"/>
      <w:r w:rsidR="005E3C0B" w:rsidRPr="0052542B">
        <w:rPr>
          <w:rFonts w:ascii="Amasis MT Pro Black" w:eastAsia="Times New Roman" w:hAnsi="Amasis MT Pro Black" w:cs="Times New Roman"/>
          <w:b/>
          <w:bCs/>
          <w:i/>
          <w:iCs/>
          <w:color w:val="FF0000"/>
          <w:sz w:val="40"/>
          <w:szCs w:val="40"/>
          <w:lang w:val="es-ES"/>
        </w:rPr>
        <w:t xml:space="preserve"> International </w:t>
      </w:r>
      <w:proofErr w:type="spellStart"/>
      <w:r w:rsidR="005E3C0B" w:rsidRPr="0052542B">
        <w:rPr>
          <w:rFonts w:ascii="Amasis MT Pro Black" w:eastAsia="Times New Roman" w:hAnsi="Amasis MT Pro Black" w:cs="Times New Roman"/>
          <w:b/>
          <w:bCs/>
          <w:i/>
          <w:iCs/>
          <w:color w:val="FF0000"/>
          <w:sz w:val="40"/>
          <w:szCs w:val="40"/>
          <w:lang w:val="es-ES"/>
        </w:rPr>
        <w:t>Community</w:t>
      </w:r>
      <w:proofErr w:type="spellEnd"/>
      <w:r w:rsidR="005E3C0B" w:rsidRPr="0052542B">
        <w:rPr>
          <w:rFonts w:ascii="Amasis MT Pro Black" w:eastAsia="Times New Roman" w:hAnsi="Amasis MT Pro Black" w:cs="Times New Roman"/>
          <w:b/>
          <w:bCs/>
          <w:i/>
          <w:iCs/>
          <w:color w:val="FF0000"/>
          <w:sz w:val="40"/>
          <w:szCs w:val="40"/>
          <w:lang w:val="es-ES"/>
        </w:rPr>
        <w:t xml:space="preserve"> </w:t>
      </w:r>
      <w:proofErr w:type="spellStart"/>
      <w:r w:rsidR="005E3C0B" w:rsidRPr="0052542B">
        <w:rPr>
          <w:rFonts w:ascii="Amasis MT Pro Black" w:eastAsia="Times New Roman" w:hAnsi="Amasis MT Pro Black" w:cs="Times New Roman"/>
          <w:b/>
          <w:bCs/>
          <w:i/>
          <w:iCs/>
          <w:color w:val="FF0000"/>
          <w:sz w:val="40"/>
          <w:szCs w:val="40"/>
          <w:lang w:val="es-ES"/>
        </w:rPr>
        <w:t>School</w:t>
      </w:r>
      <w:proofErr w:type="spellEnd"/>
    </w:p>
    <w:p w14:paraId="53B2BA52" w14:textId="7FDBA295" w:rsidR="005522D3" w:rsidRPr="0052542B" w:rsidRDefault="00F124CA" w:rsidP="005E3C0B">
      <w:pPr>
        <w:spacing w:after="0" w:line="235" w:lineRule="auto"/>
        <w:jc w:val="center"/>
        <w:rPr>
          <w:rFonts w:ascii="Amasis MT Pro Black" w:eastAsia="Times New Roman" w:hAnsi="Amasis MT Pro Black" w:cs="Times New Roman"/>
          <w:i/>
          <w:iCs/>
          <w:sz w:val="20"/>
          <w:szCs w:val="20"/>
        </w:rPr>
      </w:pPr>
      <w:r w:rsidRPr="0052542B">
        <w:rPr>
          <w:rFonts w:ascii="Amasis MT Pro Black" w:eastAsia="Times New Roman" w:hAnsi="Amasis MT Pro Black" w:cs="Times New Roman"/>
          <w:b/>
          <w:bCs/>
          <w:i/>
          <w:iCs/>
          <w:color w:val="FF0000"/>
          <w:sz w:val="36"/>
          <w:szCs w:val="36"/>
          <w:lang w:val="es-ES"/>
        </w:rPr>
        <w:t>202</w:t>
      </w:r>
      <w:r w:rsidR="0052542B" w:rsidRPr="0052542B">
        <w:rPr>
          <w:rFonts w:ascii="Amasis MT Pro Black" w:eastAsia="Times New Roman" w:hAnsi="Amasis MT Pro Black" w:cs="Times New Roman"/>
          <w:b/>
          <w:bCs/>
          <w:i/>
          <w:iCs/>
          <w:color w:val="FF0000"/>
          <w:sz w:val="36"/>
          <w:szCs w:val="36"/>
          <w:lang w:val="es-ES"/>
        </w:rPr>
        <w:t>4</w:t>
      </w:r>
      <w:r w:rsidRPr="0052542B">
        <w:rPr>
          <w:rFonts w:ascii="Amasis MT Pro Black" w:eastAsia="Times New Roman" w:hAnsi="Amasis MT Pro Black" w:cs="Times New Roman"/>
          <w:b/>
          <w:bCs/>
          <w:i/>
          <w:iCs/>
          <w:color w:val="FF0000"/>
          <w:sz w:val="36"/>
          <w:szCs w:val="36"/>
          <w:lang w:val="es-ES"/>
        </w:rPr>
        <w:t xml:space="preserve"> – 202</w:t>
      </w:r>
      <w:r w:rsidR="0052542B" w:rsidRPr="0052542B">
        <w:rPr>
          <w:rFonts w:ascii="Amasis MT Pro Black" w:eastAsia="Times New Roman" w:hAnsi="Amasis MT Pro Black" w:cs="Times New Roman"/>
          <w:b/>
          <w:bCs/>
          <w:i/>
          <w:iCs/>
          <w:color w:val="FF0000"/>
          <w:sz w:val="36"/>
          <w:szCs w:val="36"/>
          <w:lang w:val="es-ES"/>
        </w:rPr>
        <w:t>5</w:t>
      </w:r>
    </w:p>
    <w:p w14:paraId="0AA2C73D" w14:textId="67D8F065" w:rsidR="005522D3" w:rsidRPr="0052542B" w:rsidRDefault="005522D3" w:rsidP="005E3C0B">
      <w:pPr>
        <w:spacing w:after="0" w:line="3" w:lineRule="atLeast"/>
        <w:jc w:val="center"/>
        <w:rPr>
          <w:rFonts w:ascii="Amasis MT Pro Black" w:eastAsia="Times New Roman" w:hAnsi="Amasis MT Pro Black" w:cs="Times New Roman"/>
          <w:i/>
          <w:iCs/>
          <w:sz w:val="20"/>
          <w:szCs w:val="20"/>
        </w:rPr>
      </w:pPr>
    </w:p>
    <w:p w14:paraId="21C234C5" w14:textId="1ACB2F20" w:rsidR="005522D3" w:rsidRPr="0052542B" w:rsidRDefault="005522D3" w:rsidP="005E3C0B">
      <w:pPr>
        <w:spacing w:after="0" w:line="240" w:lineRule="auto"/>
        <w:jc w:val="center"/>
        <w:rPr>
          <w:rFonts w:ascii="Amasis MT Pro Black" w:eastAsia="Times New Roman" w:hAnsi="Amasis MT Pro Black" w:cs="Times New Roman"/>
          <w:i/>
          <w:iCs/>
          <w:sz w:val="20"/>
          <w:szCs w:val="20"/>
        </w:rPr>
      </w:pPr>
      <w:r w:rsidRPr="0052542B">
        <w:rPr>
          <w:rFonts w:ascii="Amasis MT Pro Black" w:eastAsia="Times New Roman" w:hAnsi="Amasis MT Pro Black" w:cs="Times New Roman"/>
          <w:b/>
          <w:bCs/>
          <w:i/>
          <w:iCs/>
          <w:color w:val="FF0000"/>
          <w:sz w:val="36"/>
          <w:szCs w:val="36"/>
          <w:lang w:val="es-ES"/>
        </w:rPr>
        <w:t>Plan de Participación Familiar</w:t>
      </w:r>
    </w:p>
    <w:p w14:paraId="326F3997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0012F64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88411DA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DADC237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La ley federal requiere que las escuelas que reciben fondos del Título I creen un Plan de Participación Familiar para alentar a los padres y familiares a involucrarse en la educación de sus hijos.</w:t>
      </w:r>
    </w:p>
    <w:p w14:paraId="0E00B916" w14:textId="77777777" w:rsidR="005522D3" w:rsidRPr="005522D3" w:rsidRDefault="005522D3" w:rsidP="005522D3">
      <w:pPr>
        <w:spacing w:after="0" w:line="288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CC93345" w14:textId="61ECDA7C" w:rsidR="005522D3" w:rsidRPr="005522D3" w:rsidRDefault="005522D3" w:rsidP="005522D3">
      <w:pPr>
        <w:spacing w:after="0" w:line="268" w:lineRule="auto"/>
        <w:ind w:right="180"/>
        <w:rPr>
          <w:rFonts w:ascii="Calibri" w:eastAsia="Times New Roman" w:hAnsi="Calibri" w:cs="Times New Roman"/>
          <w:sz w:val="20"/>
          <w:szCs w:val="20"/>
        </w:rPr>
      </w:pPr>
      <w:proofErr w:type="spellStart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Treadwell</w:t>
      </w:r>
      <w:proofErr w:type="spellEnd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5E3C0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International </w:t>
      </w:r>
      <w:proofErr w:type="spellStart"/>
      <w:r w:rsidR="005E3C0B">
        <w:rPr>
          <w:rFonts w:ascii="Times New Roman" w:eastAsia="Times New Roman" w:hAnsi="Times New Roman" w:cs="Times New Roman"/>
          <w:sz w:val="20"/>
          <w:szCs w:val="20"/>
          <w:lang w:val="es-ES"/>
        </w:rPr>
        <w:t>Community</w:t>
      </w:r>
      <w:proofErr w:type="spellEnd"/>
      <w:r w:rsidR="005E3C0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School</w:t>
      </w:r>
      <w:proofErr w:type="spellEnd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fomenta la participación de los padres en curso en nuestro proceso educativo. Hemos desarrollado conjuntamente con nuestros padres un Plan de Compromiso Familiar escrito. Nuestro Plan de Compromiso Familiar a Nivel Escolar ha establecido las expectativas para la participación de los padres. Creemos que todos los niños tienen derecho a obtener una educación de alta calidad.</w:t>
      </w:r>
    </w:p>
    <w:p w14:paraId="5DC0B355" w14:textId="77777777" w:rsidR="005522D3" w:rsidRPr="005522D3" w:rsidRDefault="005522D3" w:rsidP="005522D3">
      <w:pPr>
        <w:spacing w:after="0" w:line="28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4ACB8D8" w14:textId="64E51F3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Para asegurar que nuestros padres participen en el desarrollo e implementación del programa de escuelas, </w:t>
      </w:r>
      <w:proofErr w:type="spellStart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Treadwell</w:t>
      </w:r>
      <w:proofErr w:type="spellEnd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5E3C0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International </w:t>
      </w:r>
      <w:proofErr w:type="spellStart"/>
      <w:r w:rsidR="005E3C0B">
        <w:rPr>
          <w:rFonts w:ascii="Times New Roman" w:eastAsia="Times New Roman" w:hAnsi="Times New Roman" w:cs="Times New Roman"/>
          <w:sz w:val="20"/>
          <w:szCs w:val="20"/>
          <w:lang w:val="es-ES"/>
        </w:rPr>
        <w:t>Community</w:t>
      </w:r>
      <w:proofErr w:type="spellEnd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School</w:t>
      </w:r>
      <w:proofErr w:type="spellEnd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alentará a los padres a hacer lo siguiente:</w:t>
      </w:r>
    </w:p>
    <w:p w14:paraId="313BFEB3" w14:textId="77777777" w:rsidR="005522D3" w:rsidRPr="005522D3" w:rsidRDefault="005522D3" w:rsidP="005522D3">
      <w:pPr>
        <w:spacing w:after="0" w:line="10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5A6F6C3" w14:textId="77777777" w:rsidR="005522D3" w:rsidRPr="005522D3" w:rsidRDefault="005522D3" w:rsidP="005522D3">
      <w:pPr>
        <w:spacing w:after="0" w:line="24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servir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en el proceso de toma de decisiones participando en el Comité de Liderazgo Basado en El Sitio y la PTO.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51557998" w14:textId="77777777" w:rsidR="005522D3" w:rsidRPr="005522D3" w:rsidRDefault="005522D3" w:rsidP="005522D3">
      <w:pPr>
        <w:spacing w:after="0" w:line="52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5726A57E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Asistir a 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reuniones a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nivel de equipo, conferencias de padres, programas y reuniones de la PTO.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00A7B47C" w14:textId="77777777" w:rsidR="005522D3" w:rsidRPr="005522D3" w:rsidRDefault="005522D3" w:rsidP="005522D3">
      <w:pPr>
        <w:spacing w:after="0" w:line="5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3CC3A721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Participación de los Voluntarios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en actividades académicas, extracurriculares y </w:t>
      </w:r>
      <w:proofErr w:type="spellStart"/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co-curriculares</w:t>
      </w:r>
      <w:proofErr w:type="spellEnd"/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38EF6BAA" w14:textId="77777777" w:rsidR="005522D3" w:rsidRPr="005522D3" w:rsidRDefault="005522D3" w:rsidP="005522D3">
      <w:pPr>
        <w:spacing w:after="0" w:line="56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5402336C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Desarrollar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conjuntamente un pacto entre la escuela y los padres.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737B87D4" w14:textId="77777777" w:rsidR="005522D3" w:rsidRPr="005522D3" w:rsidRDefault="005522D3" w:rsidP="005522D3">
      <w:pPr>
        <w:spacing w:after="0" w:line="5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6516C8CC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Involucrar a los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padres en la planificación y desarrollo del Plan de Mejora Escolar de Tennessee.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362232D2" w14:textId="77777777" w:rsidR="005522D3" w:rsidRPr="005522D3" w:rsidRDefault="005522D3" w:rsidP="005522D3">
      <w:pPr>
        <w:spacing w:after="0" w:line="310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9046DAA" w14:textId="77777777" w:rsidR="005522D3" w:rsidRPr="005522D3" w:rsidRDefault="005522D3" w:rsidP="005522D3">
      <w:pPr>
        <w:spacing w:after="0" w:line="264" w:lineRule="auto"/>
        <w:ind w:right="26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Los administradores, profesores y personal proporcionarán un plan estratégico e implementarán los requisitos del Título I de acuerdo con las pautas establecidas en la ley, que incluyen lo siguiente:</w:t>
      </w:r>
    </w:p>
    <w:p w14:paraId="19F0089F" w14:textId="77777777" w:rsidR="005522D3" w:rsidRPr="005522D3" w:rsidRDefault="005522D3" w:rsidP="005522D3">
      <w:pPr>
        <w:spacing w:after="0" w:line="108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8878AE3" w14:textId="77777777" w:rsidR="005522D3" w:rsidRPr="005522D3" w:rsidRDefault="005522D3" w:rsidP="005522D3">
      <w:pPr>
        <w:spacing w:after="0" w:line="240" w:lineRule="auto"/>
        <w:ind w:left="720" w:hanging="36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Convocar 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reuniones anuales en horarios flexibles donde todos los padres son invitados.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Las reuniones se llevarán a cabo por la mañana y por la noche.</w:t>
      </w:r>
    </w:p>
    <w:p w14:paraId="72E7F91C" w14:textId="77777777" w:rsidR="005522D3" w:rsidRPr="005522D3" w:rsidRDefault="005522D3" w:rsidP="005522D3">
      <w:pPr>
        <w:spacing w:after="0" w:line="52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484C8E6C" w14:textId="77777777" w:rsidR="005522D3" w:rsidRPr="005522D3" w:rsidRDefault="005522D3" w:rsidP="005522D3">
      <w:pPr>
        <w:spacing w:after="0" w:line="180" w:lineRule="auto"/>
        <w:ind w:left="720" w:right="40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Proporcionar </w:t>
      </w:r>
      <w:r w:rsidRPr="005522D3">
        <w:rPr>
          <w:rFonts w:ascii="Calibri" w:eastAsia="Times New Roman" w:hAnsi="Calibri" w:cs="Times New Roman"/>
          <w:b/>
          <w:bCs/>
          <w:sz w:val="20"/>
          <w:szCs w:val="20"/>
          <w:lang w:val="es-ES"/>
        </w:rPr>
        <w:t xml:space="preserve">a 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los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padres información oportuna sobre los requisitos del Título I,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la participación de nuestra escuela en el Título I y los derechos de participación de los padres en la escuela.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3C00AAC3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 xml:space="preserve">Permitir a los </w:t>
      </w:r>
      <w:r w:rsidRPr="005522D3">
        <w:rPr>
          <w:rFonts w:ascii="Times New Roman" w:eastAsia="Times New Roman" w:hAnsi="Times New Roman" w:cs="Times New Roman"/>
          <w:sz w:val="18"/>
          <w:szCs w:val="18"/>
          <w:lang w:val="es-ES"/>
        </w:rPr>
        <w:t>padres observar los programas escolares y visitar las aulas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00A3D967" w14:textId="77777777" w:rsidR="005522D3" w:rsidRPr="005522D3" w:rsidRDefault="005522D3" w:rsidP="005522D3">
      <w:pPr>
        <w:spacing w:after="0" w:line="55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35"/>
          <w:szCs w:val="35"/>
          <w:vertAlign w:val="superscript"/>
        </w:rPr>
        <w:t> </w:t>
      </w:r>
    </w:p>
    <w:p w14:paraId="28D800BD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Programar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un número flexible de reuniones para informar a los padres sobre el progreso de los estudiantes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01A10E9C" w14:textId="77777777" w:rsidR="005522D3" w:rsidRPr="005522D3" w:rsidRDefault="005522D3" w:rsidP="005522D3">
      <w:pPr>
        <w:spacing w:after="0" w:line="5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1ABA1B47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Proporcione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una descripción y explicación del plan de estudios, las evaluaciones académicas y el nivel de competencia de cada niño.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70B52F25" w14:textId="77777777" w:rsidR="005522D3" w:rsidRPr="005522D3" w:rsidRDefault="005522D3" w:rsidP="005522D3">
      <w:pPr>
        <w:spacing w:after="0" w:line="5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71DEA2E9" w14:textId="77777777" w:rsidR="005522D3" w:rsidRPr="005522D3" w:rsidRDefault="005522D3" w:rsidP="005522D3">
      <w:pPr>
        <w:spacing w:after="0" w:line="180" w:lineRule="auto"/>
        <w:ind w:left="720" w:right="56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Animar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a los padres y estudiantes a unirse a nuestra TDF local y asistir a las Reuniones de Título I /Desarrollos profesionales proporcionados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durante horarios flexibles.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051CCA3F" w14:textId="77777777" w:rsidR="005522D3" w:rsidRPr="005522D3" w:rsidRDefault="005522D3" w:rsidP="005522D3">
      <w:pPr>
        <w:spacing w:after="0" w:line="4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lastRenderedPageBreak/>
        <w:t> </w:t>
      </w:r>
    </w:p>
    <w:p w14:paraId="3C878145" w14:textId="77777777" w:rsidR="005522D3" w:rsidRPr="005522D3" w:rsidRDefault="005522D3" w:rsidP="005522D3">
      <w:pPr>
        <w:spacing w:after="0" w:line="182" w:lineRule="auto"/>
        <w:ind w:left="720" w:right="34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Anima a los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padres a asistir a todos los eventos de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noche de puertas abiertas y familiares que abordan el plan de estudios, las evaluaciones y los niveles de rendimiento de nuestros estudiantes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3576F841" w14:textId="77777777" w:rsidR="005522D3" w:rsidRPr="005522D3" w:rsidRDefault="005522D3" w:rsidP="005522D3">
      <w:pPr>
        <w:spacing w:after="0" w:line="47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301E9454" w14:textId="77777777" w:rsidR="005522D3" w:rsidRPr="005522D3" w:rsidRDefault="005522D3" w:rsidP="005522D3">
      <w:pPr>
        <w:spacing w:after="0" w:line="182" w:lineRule="auto"/>
        <w:ind w:left="720" w:right="1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Involucrar a los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padres de manera organizada, continua y oportuna, en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la planificación, revisión y mejora de los programas para la participación de los padres y el Plan de Participación Familiar a Nivel Escolar.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202D35A1" w14:textId="77777777" w:rsidR="005522D3" w:rsidRPr="005522D3" w:rsidRDefault="005522D3" w:rsidP="005522D3">
      <w:pPr>
        <w:spacing w:after="0" w:line="298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16F3689" w14:textId="77777777" w:rsidR="005522D3" w:rsidRPr="005522D3" w:rsidRDefault="005522D3" w:rsidP="005522D3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Para asegurar que nuestros padres participen en el desarrollo e implementación del programa de la escuela, haremos lo siguiente:</w:t>
      </w:r>
    </w:p>
    <w:p w14:paraId="228BDF77" w14:textId="77777777" w:rsidR="005522D3" w:rsidRPr="005522D3" w:rsidRDefault="005522D3" w:rsidP="005522D3">
      <w:pPr>
        <w:spacing w:after="0" w:line="311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B08ACD3" w14:textId="77777777" w:rsidR="005522D3" w:rsidRPr="005522D3" w:rsidRDefault="005522D3" w:rsidP="005522D3">
      <w:pPr>
        <w:spacing w:after="0" w:line="182" w:lineRule="auto"/>
        <w:ind w:left="720" w:right="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Proporcionar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oportunidades para reuniones regulares de padres para mantener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a los padres informados sobre los programas escolares, las actividades y el progreso, así como aceptar comentarios de los padres.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46DB02C4" w14:textId="77777777" w:rsidR="005522D3" w:rsidRPr="005522D3" w:rsidRDefault="005522D3" w:rsidP="005522D3">
      <w:pPr>
        <w:spacing w:after="0" w:line="45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5B05EED8" w14:textId="77777777" w:rsidR="005522D3" w:rsidRPr="005522D3" w:rsidRDefault="005522D3" w:rsidP="005522D3">
      <w:pPr>
        <w:spacing w:after="0" w:line="182" w:lineRule="auto"/>
        <w:ind w:left="720" w:right="50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Proporcionar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medios de comunicación alternativos para proporcionar información a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través de nuestro boletín de TMS, calendario escolar, folleto, sitio web, etc.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0DA8C5EA" w14:textId="77777777" w:rsidR="005522D3" w:rsidRPr="005522D3" w:rsidRDefault="005522D3" w:rsidP="005522D3">
      <w:pPr>
        <w:spacing w:after="0" w:line="45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1EBD55A3" w14:textId="77777777" w:rsidR="005522D3" w:rsidRPr="005522D3" w:rsidRDefault="005522D3" w:rsidP="005522D3">
      <w:pPr>
        <w:spacing w:after="0" w:line="182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Conferencias de Padres 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y Maestros de Conducta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para que los padres tengan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la oportunidad de trazar el progreso académico de su hijo y discutir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cualquier problema con los maestros.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608B0775" w14:textId="77777777" w:rsidR="005522D3" w:rsidRPr="005522D3" w:rsidRDefault="005522D3" w:rsidP="005522D3">
      <w:pPr>
        <w:spacing w:after="0" w:line="30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0AA0B04" w14:textId="1BEF8F8A" w:rsidR="005522D3" w:rsidRPr="005522D3" w:rsidRDefault="005522D3" w:rsidP="005E3C0B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  <w:proofErr w:type="spellStart"/>
      <w:r w:rsidRPr="005522D3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Treadwell</w:t>
      </w:r>
      <w:proofErr w:type="spellEnd"/>
      <w:r w:rsidRPr="005522D3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  <w:r w:rsidR="005E3C0B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International </w:t>
      </w:r>
      <w:proofErr w:type="spellStart"/>
      <w:r w:rsidR="005E3C0B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Community</w:t>
      </w:r>
      <w:proofErr w:type="spellEnd"/>
      <w:r w:rsidR="005E3C0B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  <w:proofErr w:type="spellStart"/>
      <w:r w:rsidR="005E3C0B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School</w:t>
      </w:r>
      <w:proofErr w:type="spellEnd"/>
      <w:r w:rsidR="005E3C0B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es una Escuela Título I financiada por el gobierno federal.</w:t>
      </w:r>
    </w:p>
    <w:p w14:paraId="2675676E" w14:textId="77777777" w:rsidR="005522D3" w:rsidRPr="005522D3" w:rsidRDefault="005522D3" w:rsidP="005522D3">
      <w:pPr>
        <w:spacing w:after="0" w:line="200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10DABAD" w14:textId="77777777" w:rsidR="001948AC" w:rsidRDefault="001948AC"/>
    <w:p w14:paraId="0409B531" w14:textId="77777777" w:rsidR="007B07F3" w:rsidRDefault="007B07F3"/>
    <w:p w14:paraId="4E5DF927" w14:textId="77777777" w:rsidR="007B07F3" w:rsidRDefault="007B07F3"/>
    <w:p w14:paraId="65B0971B" w14:textId="77777777" w:rsidR="007B07F3" w:rsidRDefault="007B07F3"/>
    <w:p w14:paraId="54905925" w14:textId="77777777" w:rsidR="007B07F3" w:rsidRDefault="007B07F3"/>
    <w:p w14:paraId="0BE5D5C7" w14:textId="77777777" w:rsidR="007B07F3" w:rsidRDefault="007B07F3"/>
    <w:p w14:paraId="3A1B64B9" w14:textId="77777777" w:rsidR="007B07F3" w:rsidRDefault="007B07F3"/>
    <w:p w14:paraId="7069E642" w14:textId="77777777" w:rsidR="007B07F3" w:rsidRDefault="007B07F3"/>
    <w:p w14:paraId="5FF75115" w14:textId="77777777" w:rsidR="007B07F3" w:rsidRDefault="007B07F3"/>
    <w:p w14:paraId="31FD0426" w14:textId="77777777" w:rsidR="007B07F3" w:rsidRDefault="007B07F3"/>
    <w:p w14:paraId="3A090423" w14:textId="77777777" w:rsidR="007B07F3" w:rsidRDefault="007B07F3"/>
    <w:p w14:paraId="56F3823F" w14:textId="77777777" w:rsidR="007B07F3" w:rsidRDefault="007B07F3"/>
    <w:p w14:paraId="4C8AF82E" w14:textId="77777777" w:rsidR="007B07F3" w:rsidRDefault="007B07F3"/>
    <w:p w14:paraId="21C2C49F" w14:textId="5F228E20" w:rsidR="007B07F3" w:rsidRPr="007B07F3" w:rsidRDefault="007B07F3">
      <w:pPr>
        <w:rPr>
          <w:i/>
          <w:iCs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7B07F3">
        <w:rPr>
          <w:i/>
          <w:iCs/>
        </w:rPr>
        <w:t>May 15, 2024</w:t>
      </w:r>
    </w:p>
    <w:sectPr w:rsidR="007B07F3" w:rsidRPr="007B07F3" w:rsidSect="005522D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92E01" w14:textId="77777777" w:rsidR="0073332A" w:rsidRDefault="0073332A" w:rsidP="007B07F3">
      <w:pPr>
        <w:spacing w:after="0" w:line="240" w:lineRule="auto"/>
      </w:pPr>
      <w:r>
        <w:separator/>
      </w:r>
    </w:p>
  </w:endnote>
  <w:endnote w:type="continuationSeparator" w:id="0">
    <w:p w14:paraId="01157506" w14:textId="77777777" w:rsidR="0073332A" w:rsidRDefault="0073332A" w:rsidP="007B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1EF5" w14:textId="1359DDCB" w:rsidR="007B07F3" w:rsidRDefault="007B07F3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A6E27" wp14:editId="787093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40A2945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8AF6F" w14:textId="77777777" w:rsidR="0073332A" w:rsidRDefault="0073332A" w:rsidP="007B07F3">
      <w:pPr>
        <w:spacing w:after="0" w:line="240" w:lineRule="auto"/>
      </w:pPr>
      <w:r>
        <w:separator/>
      </w:r>
    </w:p>
  </w:footnote>
  <w:footnote w:type="continuationSeparator" w:id="0">
    <w:p w14:paraId="0A11E8F7" w14:textId="77777777" w:rsidR="0073332A" w:rsidRDefault="0073332A" w:rsidP="007B0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D3"/>
    <w:rsid w:val="00025F7E"/>
    <w:rsid w:val="001948AC"/>
    <w:rsid w:val="00273CDF"/>
    <w:rsid w:val="003B76C3"/>
    <w:rsid w:val="003F2564"/>
    <w:rsid w:val="004507AB"/>
    <w:rsid w:val="0052542B"/>
    <w:rsid w:val="005522D3"/>
    <w:rsid w:val="005E3C0B"/>
    <w:rsid w:val="00696FF3"/>
    <w:rsid w:val="006C157D"/>
    <w:rsid w:val="0073332A"/>
    <w:rsid w:val="007B07F3"/>
    <w:rsid w:val="00CD64D7"/>
    <w:rsid w:val="00F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0125"/>
  <w15:chartTrackingRefBased/>
  <w15:docId w15:val="{10F0B628-C31E-4705-8533-C212583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F3"/>
  </w:style>
  <w:style w:type="paragraph" w:styleId="Footer">
    <w:name w:val="footer"/>
    <w:basedOn w:val="Normal"/>
    <w:link w:val="FooterChar"/>
    <w:uiPriority w:val="99"/>
    <w:unhideWhenUsed/>
    <w:rsid w:val="007B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CHACHAUNA N WILLIAMS</dc:creator>
  <cp:keywords/>
  <dc:description/>
  <cp:lastModifiedBy>SHAYLA D JEFFERIES</cp:lastModifiedBy>
  <cp:revision>2</cp:revision>
  <dcterms:created xsi:type="dcterms:W3CDTF">2024-09-23T20:29:00Z</dcterms:created>
  <dcterms:modified xsi:type="dcterms:W3CDTF">2024-09-23T20:29:00Z</dcterms:modified>
</cp:coreProperties>
</file>